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2D0BE">
      <w:pPr>
        <w:widowControl w:val="0"/>
        <w:spacing w:before="480" w:after="480" w:line="288" w:lineRule="auto"/>
        <w:ind w:left="0"/>
        <w:jc w:val="center"/>
        <w:rPr>
          <w:rFonts w:ascii="Arial" w:hAnsi="Arial" w:eastAsia="等线" w:cs="Arial"/>
          <w:b/>
          <w:sz w:val="44"/>
          <w:szCs w:val="20"/>
        </w:rPr>
      </w:pPr>
      <w:r>
        <w:rPr>
          <w:rFonts w:hint="eastAsia" w:ascii="Arial" w:hAnsi="Arial" w:eastAsia="等线" w:cs="Arial"/>
          <w:b/>
          <w:sz w:val="44"/>
          <w:szCs w:val="20"/>
          <w:lang w:val="en-US" w:eastAsia="zh-CN"/>
        </w:rPr>
        <w:t xml:space="preserve">  </w:t>
      </w:r>
      <w:r>
        <w:rPr>
          <w:rFonts w:ascii="Arial" w:hAnsi="Arial" w:eastAsia="等线" w:cs="Arial"/>
          <w:b/>
          <w:sz w:val="44"/>
          <w:szCs w:val="20"/>
        </w:rPr>
        <w:t>泰州市中医院网络安全服务项目调研需求书</w:t>
      </w:r>
    </w:p>
    <w:p w14:paraId="611EAF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等线" w:hAnsi="等线" w:eastAsia="等线" w:cs="等线"/>
          <w:sz w:val="22"/>
          <w:szCs w:val="22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为保障我院互联网业务系统、数据中心网络安全稳定运行，落实等保、医疗行业网络安全管理要求，现对全院网络安全外包服务开展公开调研，诚邀符合资质的供应商提交完整安全服务方案及分项总报价。</w:t>
      </w:r>
    </w:p>
    <w:p w14:paraId="7B50589C">
      <w:pPr>
        <w:pStyle w:val="3"/>
        <w:keepNext w:val="0"/>
        <w:keepLines w:val="0"/>
        <w:widowControl/>
        <w:suppressLineNumbers w:val="0"/>
      </w:pPr>
      <w:r>
        <w:t>一、项目概况与服务范围</w:t>
      </w:r>
    </w:p>
    <w:p w14:paraId="1B2747B2">
      <w:pPr>
        <w:pStyle w:val="4"/>
        <w:keepNext w:val="0"/>
        <w:keepLines w:val="0"/>
        <w:widowControl/>
        <w:suppressLineNumbers w:val="0"/>
      </w:pPr>
      <w:r>
        <w:t>1、服务对象</w:t>
      </w:r>
    </w:p>
    <w:p w14:paraId="70819E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全院互联网业务系统。</w:t>
      </w:r>
    </w:p>
    <w:p w14:paraId="2CF35235">
      <w:pPr>
        <w:pStyle w:val="4"/>
        <w:keepNext w:val="0"/>
        <w:keepLines w:val="0"/>
        <w:widowControl/>
        <w:suppressLineNumbers w:val="0"/>
      </w:pPr>
      <w:r>
        <w:t>2、服务区域</w:t>
      </w:r>
    </w:p>
    <w:p w14:paraId="734688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泰州市中医院东院区、西院区核心互联网业务系统。</w:t>
      </w:r>
    </w:p>
    <w:p w14:paraId="7E85F462">
      <w:pPr>
        <w:pStyle w:val="4"/>
        <w:keepNext w:val="0"/>
        <w:keepLines w:val="0"/>
        <w:widowControl/>
        <w:suppressLineNumbers w:val="0"/>
      </w:pPr>
      <w:r>
        <w:t>3、核心要求</w:t>
      </w:r>
    </w:p>
    <w:p w14:paraId="719979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供应商需结合医疗机构信息系统等保合规、患者数据高保密、业务零中断运行特点，提供标准化、闭环式、全年持续性网络安全保障服务体系，所有服务成果需满足医院等保测评、上级卫健部门安全检查要求。</w:t>
      </w:r>
    </w:p>
    <w:p w14:paraId="33E56ADD">
      <w:pPr>
        <w:pStyle w:val="3"/>
        <w:keepNext w:val="0"/>
        <w:keepLines w:val="0"/>
        <w:widowControl/>
        <w:suppressLineNumbers w:val="0"/>
      </w:pPr>
      <w:r>
        <w:t>二、</w:t>
      </w:r>
      <w:r>
        <w:rPr>
          <w:rFonts w:hint="eastAsia"/>
          <w:lang w:val="en-US" w:eastAsia="zh-CN"/>
        </w:rPr>
        <w:t>拟</w:t>
      </w:r>
      <w:r>
        <w:t>安全服务明细</w:t>
      </w:r>
    </w:p>
    <w:p w14:paraId="72673EE1">
      <w:pPr>
        <w:pStyle w:val="3"/>
        <w:keepNext w:val="0"/>
        <w:keepLines w:val="0"/>
        <w:widowControl/>
        <w:suppressLineNumbers w:val="0"/>
        <w:ind w:firstLine="440" w:firstLineChars="200"/>
        <w:rPr>
          <w:rFonts w:hint="default" w:ascii="等线" w:hAnsi="等线" w:eastAsia="等线" w:cs="等线"/>
          <w:b w:val="0"/>
          <w:bCs w:val="0"/>
          <w:sz w:val="22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等线" w:hAnsi="等线" w:eastAsia="等线" w:cs="等线"/>
          <w:b w:val="0"/>
          <w:bCs w:val="0"/>
          <w:sz w:val="22"/>
          <w:szCs w:val="22"/>
          <w:lang w:val="en-US" w:eastAsia="zh-CN" w:bidi="ar-SA"/>
        </w:rPr>
        <w:t>包括但不限于互联网资产梳理、漏洞扫描、渗透测试、安全评估、重保服务、应急响应、安全加固、7*24小时MSS安全运营服务等</w:t>
      </w:r>
    </w:p>
    <w:p w14:paraId="3F8603BF">
      <w:pPr>
        <w:pStyle w:val="3"/>
        <w:keepNext w:val="0"/>
        <w:keepLines w:val="0"/>
        <w:widowControl/>
        <w:suppressLineNumbers w:val="0"/>
      </w:pPr>
      <w:r>
        <w:t>三、供应商工作要求</w:t>
      </w:r>
    </w:p>
    <w:p w14:paraId="65DC04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院内业务系统承载患者隐私、诊疗核心数据，安全等级要求高，</w:t>
      </w:r>
      <w:r>
        <w:rPr>
          <w:rFonts w:hint="eastAsia" w:ascii="等线" w:hAnsi="等线" w:eastAsia="等线" w:cs="等线"/>
          <w:b/>
          <w:bCs/>
          <w:sz w:val="22"/>
          <w:szCs w:val="22"/>
          <w:lang w:val="en-US" w:eastAsia="zh-CN"/>
        </w:rPr>
        <w:t>供应商可自行安排持证安全工程师提前现场勘察（非必须）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，全面梳理业务资产、系统访问路径、现有安全短板、潜在安全隐患。所有安全操作必须提前报备医院信息处，严禁擅自操作业务系统、导出患者数据。</w:t>
      </w:r>
    </w:p>
    <w:p w14:paraId="573CA551">
      <w:pPr>
        <w:pStyle w:val="3"/>
        <w:keepNext w:val="0"/>
        <w:keepLines w:val="0"/>
        <w:widowControl/>
        <w:suppressLineNumbers w:val="0"/>
      </w:pPr>
      <w:r>
        <w:t>四、需提交的安全服务方案内容</w:t>
      </w:r>
    </w:p>
    <w:p w14:paraId="4E9549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供应商须提供完整、可落地的正式方案，至少包含以下内容：</w:t>
      </w:r>
    </w:p>
    <w:p w14:paraId="01CD91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1、安全服务总体方案</w:t>
      </w:r>
    </w:p>
    <w:p w14:paraId="2539A5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服务理念与全年安全保障目标；针对医院医疗业务安全防护措施。</w:t>
      </w:r>
    </w:p>
    <w:p w14:paraId="2AC5F1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2、服务范围界定</w:t>
      </w:r>
    </w:p>
    <w:p w14:paraId="6A90AD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明确各项安全服务工作边界；包含资产梳理、漏洞扫描、渗透测试、安全评估、重保值守、应急处置、安全加固、7*24安全运营全部工作内容；明确不含项、额外增值服务、报价外项目。</w:t>
      </w:r>
    </w:p>
    <w:p w14:paraId="2444D7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3、全年安全服务实施计划</w:t>
      </w:r>
    </w:p>
    <w:p w14:paraId="31EA20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月度/季度/年度固定服务实施计划；重保期专项保障方案；高危漏洞、老旧业务系统专项安全整治计划；每次服务交付物、输出报告清单。</w:t>
      </w:r>
    </w:p>
    <w:p w14:paraId="449C56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4、服务流程与操作规程</w:t>
      </w:r>
    </w:p>
    <w:p w14:paraId="23910F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需求对接→现场实施→漏洞检测/安全评估→出具报告→协助整改→复测验收→归档回访全流程；安全操作标准化规范、数据保密制度、重大安全事件应急处置流程。</w:t>
      </w:r>
    </w:p>
    <w:p w14:paraId="210532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5、风险分析与安全保障措施</w:t>
      </w:r>
    </w:p>
    <w:p w14:paraId="20256C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医院业务系统常见网络攻击风险、数据泄露风险识别；事前预警、事中处置、事后复盘全闭环防护机制；患者敏感数据专项防护方案。</w:t>
      </w:r>
    </w:p>
    <w:p w14:paraId="2542C0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6、服务响应与时效承诺</w:t>
      </w:r>
    </w:p>
    <w:p w14:paraId="15E868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日常咨询响应时间；漏洞整改、渗透复测到场时限；病毒、勒索病毒、入侵攻击等重大安全事件7*24小时到场处置时限；重大故障应急支援、临时防护策略应急方案。</w:t>
      </w:r>
    </w:p>
    <w:p w14:paraId="72B634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7、服务人员与配套工具</w:t>
      </w:r>
    </w:p>
    <w:p w14:paraId="3687FB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全年固定服务团队配置、人员安全资质证书；渗透、漏洞检测、流量分析专用软硬件工具；安全漏洞知识库、应急处置工具储备。</w:t>
      </w:r>
    </w:p>
    <w:p w14:paraId="4D6BDF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8、其他供应商认为有需要或有亮点的内容。</w:t>
      </w:r>
    </w:p>
    <w:p w14:paraId="1DA2A6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9、分项报价</w:t>
      </w:r>
    </w:p>
    <w:p w14:paraId="5B5591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按照需求清单提供分项报价单。</w:t>
      </w:r>
    </w:p>
    <w:p w14:paraId="3E06AB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10、公司资质与同类业绩</w:t>
      </w:r>
    </w:p>
    <w:p w14:paraId="32DC6F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营业执照、网络安全相关资质证书；近三年医疗机构、卫健系统、三甲医院网络安全服务项目合同、验收报告（复印件加盖公章）。</w:t>
      </w:r>
    </w:p>
    <w:p w14:paraId="10D4591C">
      <w:pPr>
        <w:pStyle w:val="3"/>
        <w:keepNext w:val="0"/>
        <w:keepLines w:val="0"/>
        <w:widowControl/>
        <w:suppressLineNumbers w:val="0"/>
      </w:pPr>
      <w:r>
        <w:t>五、交付要求</w:t>
      </w:r>
    </w:p>
    <w:p w14:paraId="3171CE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1、提交盖章版扫描文件电子版（PDF），统一提交邮箱：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fldChar w:fldCharType="begin"/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instrText xml:space="preserve"> HYPERLINK "mailto:83502864@qq.com" </w:instrTex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fldChar w:fldCharType="separate"/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83502864@qq.com</w:t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fldChar w:fldCharType="end"/>
      </w: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；</w:t>
      </w:r>
    </w:p>
    <w:p w14:paraId="325543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2、提交资料包含：完整安全服务实施方案、服务承诺书、响应时效承诺、分项报价单、公司资质文件、同类项目业绩材料；</w:t>
      </w:r>
    </w:p>
    <w:p w14:paraId="4F0E0E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等线" w:hAnsi="等线" w:eastAsia="等线" w:cs="等线"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sz w:val="22"/>
          <w:szCs w:val="22"/>
          <w:lang w:val="en-US" w:eastAsia="zh-CN"/>
        </w:rPr>
        <w:t>3、如需现场勘探，请提前联系我院对接人：</w:t>
      </w:r>
    </w:p>
    <w:p w14:paraId="3F2389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0"/>
        <w:textAlignment w:val="auto"/>
        <w:rPr>
          <w:rFonts w:hint="eastAsia" w:ascii="等线" w:hAnsi="等线" w:eastAsia="等线" w:cs="等线"/>
          <w:b/>
          <w:bCs/>
          <w:sz w:val="22"/>
          <w:szCs w:val="22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22"/>
          <w:szCs w:val="22"/>
          <w:lang w:val="en-US" w:eastAsia="zh-CN"/>
        </w:rPr>
        <w:t>信息处（张先生0523-86611811）</w:t>
      </w:r>
    </w:p>
    <w:p w14:paraId="7C1FD3A5">
      <w:pPr>
        <w:bidi w:val="0"/>
        <w:jc w:val="right"/>
        <w:rPr>
          <w:rFonts w:hint="eastAsia" w:ascii="等线" w:hAnsi="等线" w:eastAsia="等线" w:cs="等线"/>
          <w:b/>
          <w:bCs/>
          <w:lang w:val="en-US" w:eastAsia="zh-CN"/>
        </w:rPr>
      </w:pPr>
      <w:r>
        <w:rPr>
          <w:rFonts w:hint="eastAsia" w:ascii="等线" w:hAnsi="等线" w:eastAsia="等线" w:cs="等线"/>
          <w:b/>
          <w:bCs/>
          <w:lang w:val="en-US" w:eastAsia="zh-CN"/>
        </w:rPr>
        <w:t>泰州市中医院信息处</w:t>
      </w:r>
    </w:p>
    <w:p w14:paraId="2F081C27">
      <w:pPr>
        <w:bidi w:val="0"/>
        <w:jc w:val="right"/>
      </w:pPr>
      <w:r>
        <w:rPr>
          <w:lang w:val="en-US" w:eastAsia="zh-CN"/>
        </w:rPr>
        <w:t>2026年</w:t>
      </w:r>
      <w:r>
        <w:rPr>
          <w:rFonts w:hint="eastAsia"/>
          <w:lang w:val="en-US" w:eastAsia="zh-CN"/>
        </w:rPr>
        <w:t>9</w:t>
      </w:r>
      <w:r>
        <w:rPr>
          <w:lang w:val="en-US" w:eastAsia="zh-CN"/>
        </w:rPr>
        <w:t>月</w:t>
      </w:r>
    </w:p>
    <w:p w14:paraId="6B18AC15">
      <w:pPr>
        <w:bidi w:val="0"/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old"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FF31E4"/>
    <w:multiLevelType w:val="multilevel"/>
    <w:tmpl w:val="A3FF31E4"/>
    <w:lvl w:ilvl="0" w:tentative="0">
      <w:start w:val="1"/>
      <w:numFmt w:val="chineseCounting"/>
      <w:pStyle w:val="2"/>
      <w:lvlText w:val="%1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Arial Bold"/>
        <w:sz w:val="32"/>
        <w:szCs w:val="32"/>
      </w:rPr>
    </w:lvl>
    <w:lvl w:ilvl="1" w:tentative="0">
      <w:start w:val="1"/>
      <w:numFmt w:val="decimal"/>
      <w:isLgl/>
      <w:suff w:val="space"/>
      <w:lvlText w:val="%1.%2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Arial Bold"/>
        <w:sz w:val="28"/>
        <w:szCs w:val="28"/>
      </w:rPr>
    </w:lvl>
    <w:lvl w:ilvl="2" w:tentative="0">
      <w:start w:val="1"/>
      <w:numFmt w:val="decimal"/>
      <w:isLgl/>
      <w:suff w:val="space"/>
      <w:lvlText w:val="%1.%2.%3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Arial Bold"/>
        <w:sz w:val="24"/>
        <w:szCs w:val="24"/>
      </w:rPr>
    </w:lvl>
    <w:lvl w:ilvl="3" w:tentative="0">
      <w:start w:val="1"/>
      <w:numFmt w:val="decimal"/>
      <w:pStyle w:val="5"/>
      <w:isLgl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Arial Bold"/>
        <w:sz w:val="24"/>
        <w:szCs w:val="24"/>
      </w:rPr>
    </w:lvl>
    <w:lvl w:ilvl="4" w:tentative="0">
      <w:start w:val="1"/>
      <w:numFmt w:val="decimal"/>
      <w:pStyle w:val="6"/>
      <w:isLgl/>
      <w:lvlText w:val="%1.%2.%3.%4.%5.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Arial Bold"/>
        <w:sz w:val="24"/>
        <w:szCs w:val="24"/>
      </w:rPr>
    </w:lvl>
    <w:lvl w:ilvl="5" w:tentative="0">
      <w:start w:val="1"/>
      <w:numFmt w:val="decimal"/>
      <w:pStyle w:val="7"/>
      <w:isLgl/>
      <w:lvlText w:val="%1.%2.%3.%4.%5.%6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Arial Bold"/>
      </w:rPr>
    </w:lvl>
    <w:lvl w:ilvl="6" w:tentative="0">
      <w:start w:val="1"/>
      <w:numFmt w:val="decimal"/>
      <w:isLgl/>
      <w:lvlText w:val="%1.%2.%3.%4.%5.%6.%7."/>
      <w:lvlJc w:val="left"/>
      <w:pPr>
        <w:ind w:left="3673" w:hanging="1273"/>
      </w:pPr>
      <w:rPr>
        <w:rFonts w:hint="eastAsia" w:ascii="宋体" w:hAnsi="宋体" w:eastAsia="宋体" w:cs="汉仪书宋二KW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4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997030"/>
    <w:rsid w:val="14503A28"/>
    <w:rsid w:val="17BD619B"/>
    <w:rsid w:val="2FAF90FA"/>
    <w:rsid w:val="35F727A2"/>
    <w:rsid w:val="369D3863"/>
    <w:rsid w:val="3EFF83B9"/>
    <w:rsid w:val="3FDF87F6"/>
    <w:rsid w:val="3FEFB0F6"/>
    <w:rsid w:val="57F907FC"/>
    <w:rsid w:val="5BF5B4C1"/>
    <w:rsid w:val="5E7F2298"/>
    <w:rsid w:val="5EFF0B9F"/>
    <w:rsid w:val="5FBECD58"/>
    <w:rsid w:val="5FEF1723"/>
    <w:rsid w:val="5FEF3AA1"/>
    <w:rsid w:val="6B7DE278"/>
    <w:rsid w:val="6F4B8A27"/>
    <w:rsid w:val="6FFFEC71"/>
    <w:rsid w:val="722F4E6A"/>
    <w:rsid w:val="767C3A9E"/>
    <w:rsid w:val="77FD1FF4"/>
    <w:rsid w:val="7A9E4246"/>
    <w:rsid w:val="7B7DD66B"/>
    <w:rsid w:val="7BEFF9C5"/>
    <w:rsid w:val="7CD88D1C"/>
    <w:rsid w:val="7DDEE3A4"/>
    <w:rsid w:val="7DED4CF4"/>
    <w:rsid w:val="7EF767DB"/>
    <w:rsid w:val="7EFFB65C"/>
    <w:rsid w:val="7F1D359A"/>
    <w:rsid w:val="7F4F4311"/>
    <w:rsid w:val="7FBFA58A"/>
    <w:rsid w:val="7FDF6C93"/>
    <w:rsid w:val="7FFAD107"/>
    <w:rsid w:val="8F9877AF"/>
    <w:rsid w:val="9EFE450A"/>
    <w:rsid w:val="AEB77830"/>
    <w:rsid w:val="AEFDD5D9"/>
    <w:rsid w:val="B7777011"/>
    <w:rsid w:val="B7F7DB78"/>
    <w:rsid w:val="B7FF1938"/>
    <w:rsid w:val="B9C965CA"/>
    <w:rsid w:val="BA7E3954"/>
    <w:rsid w:val="BEFF9903"/>
    <w:rsid w:val="BEFFFE7C"/>
    <w:rsid w:val="D6BF1183"/>
    <w:rsid w:val="D6F74844"/>
    <w:rsid w:val="DF7936D5"/>
    <w:rsid w:val="E57FDA95"/>
    <w:rsid w:val="E587E785"/>
    <w:rsid w:val="E691A6C9"/>
    <w:rsid w:val="EAF7D11F"/>
    <w:rsid w:val="EE571B74"/>
    <w:rsid w:val="EEBB712B"/>
    <w:rsid w:val="EF757136"/>
    <w:rsid w:val="F3F5CB67"/>
    <w:rsid w:val="F5FEC75D"/>
    <w:rsid w:val="F6AFB8E1"/>
    <w:rsid w:val="F73FD4CC"/>
    <w:rsid w:val="F8916535"/>
    <w:rsid w:val="FAE7413C"/>
    <w:rsid w:val="FBFF94EA"/>
    <w:rsid w:val="FD7ED1A4"/>
    <w:rsid w:val="FEF885C3"/>
    <w:rsid w:val="FF5FBB65"/>
    <w:rsid w:val="FF997030"/>
    <w:rsid w:val="FFABB375"/>
    <w:rsid w:val="FFEF7DD3"/>
    <w:rsid w:val="FFF3D9E2"/>
    <w:rsid w:val="FFF7E6D4"/>
    <w:rsid w:val="FFFA9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</w:pPr>
    <w:rPr>
      <w:rFonts w:eastAsia="宋体" w:asciiTheme="minorAscii" w:hAnsiTheme="minorAscii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Autospacing="0" w:afterLines="0" w:afterAutospacing="0" w:line="360" w:lineRule="auto"/>
      <w:outlineLvl w:val="0"/>
    </w:pPr>
    <w:rPr>
      <w:rFonts w:eastAsia="宋体" w:asciiTheme="minorAscii" w:hAnsiTheme="minorAscii"/>
      <w:b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cs="宋体"/>
      <w:b/>
      <w:bCs/>
      <w:sz w:val="36"/>
      <w:szCs w:val="36"/>
      <w:lang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sz w:val="27"/>
      <w:szCs w:val="27"/>
      <w:lang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outlineLvl w:val="3"/>
    </w:pPr>
    <w:rPr>
      <w:rFonts w:ascii="Arial Bold" w:hAnsi="Arial Bold" w:eastAsia="宋体"/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Lines="0" w:beforeAutospacing="0" w:afterLines="0" w:afterAutospacing="0" w:line="360" w:lineRule="auto"/>
      <w:outlineLvl w:val="4"/>
    </w:pPr>
    <w:rPr>
      <w:rFonts w:eastAsia="宋体"/>
      <w:b/>
      <w:szCs w:val="24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3"/>
    <w:basedOn w:val="1"/>
    <w:next w:val="1"/>
    <w:qFormat/>
    <w:uiPriority w:val="0"/>
    <w:pPr>
      <w:ind w:left="480" w:leftChars="200"/>
    </w:pPr>
    <w:rPr>
      <w:rFonts w:ascii="宋体" w:hAnsi="宋体" w:eastAsia="宋体" w:cs="宋体"/>
      <w:szCs w:val="24"/>
    </w:rPr>
  </w:style>
  <w:style w:type="paragraph" w:styleId="9">
    <w:name w:val="toc 2"/>
    <w:basedOn w:val="1"/>
    <w:next w:val="1"/>
    <w:qFormat/>
    <w:uiPriority w:val="0"/>
    <w:pPr>
      <w:ind w:left="240" w:leftChars="100"/>
    </w:pPr>
    <w:rPr>
      <w:rFonts w:ascii="宋体" w:hAnsi="宋体" w:eastAsia="宋体" w:cs="宋体"/>
      <w:szCs w:val="24"/>
    </w:rPr>
  </w:style>
  <w:style w:type="character" w:styleId="12">
    <w:name w:val="Emphasis"/>
    <w:basedOn w:val="11"/>
    <w:qFormat/>
    <w:uiPriority w:val="0"/>
    <w:rPr>
      <w:i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2313</Words>
  <Characters>2369</Characters>
  <Lines>0</Lines>
  <Paragraphs>0</Paragraphs>
  <TotalTime>27</TotalTime>
  <ScaleCrop>false</ScaleCrop>
  <LinksUpToDate>false</LinksUpToDate>
  <CharactersWithSpaces>2369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2026-06-24T11:02:00Z</dcterms:created>
  <dc:creator>yangfeng</dc:creator>
  <cp:lastModifiedBy>WPS_1717384933</cp:lastModifiedBy>
  <dcterms:modified xsi:type="dcterms:W3CDTF">2026-09-04T00:51:58Z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251E9A098B23EC24CC483B6A165B256E_41</vt:lpwstr>
  </property>
  <property fmtid="{D5CDD505-2E9C-101B-9397-08002B2CF9AE}" pid="4" name="KSOTemplateDocerSaveRecord">
    <vt:lpwstr>eyJoZGlkIjoiNjkwNDAxYzc1M2IwMDY0ZDA4N2Y0ZjAzMWY1Y2FjMzEiLCJ1c2VySWQiOiIxNjA0NzY2Njk0In0=</vt:lpwstr>
  </property>
</Properties>
</file>