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olors1.xml" ContentType="application/vnd.ms-office.chartcolorstyle+xml"/>
  <Override PartName="/word/charts/colors10.xml" ContentType="application/vnd.ms-office.chartcolorstyle+xml"/>
  <Override PartName="/word/charts/colors1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colors7.xml" ContentType="application/vnd.ms-office.chartcolorstyle+xml"/>
  <Override PartName="/word/charts/colors8.xml" ContentType="application/vnd.ms-office.chartcolorstyle+xml"/>
  <Override PartName="/word/charts/colors9.xml" ContentType="application/vnd.ms-office.chartcolorstyle+xml"/>
  <Override PartName="/word/charts/style1.xml" ContentType="application/vnd.ms-office.chartstyle+xml"/>
  <Override PartName="/word/charts/style10.xml" ContentType="application/vnd.ms-office.chartstyle+xml"/>
  <Override PartName="/word/charts/style1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charts/style7.xml" ContentType="application/vnd.ms-office.chartstyle+xml"/>
  <Override PartName="/word/charts/style8.xml" ContentType="application/vnd.ms-office.chartstyle+xml"/>
  <Override PartName="/word/charts/style9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sz w:val="28"/>
          <w:szCs w:val="28"/>
        </w:rPr>
        <w:t>泰州市博物馆观众调查报告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为了更好地丰富泰州市民的文化生活，泰州博物馆制定了一套观众调查问卷，以期达到更好地更有针对性地服务广大市民的目的。历次调查共发放问卷1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600</w:t>
      </w:r>
      <w:r>
        <w:rPr>
          <w:rFonts w:hint="eastAsia" w:ascii="Times New Roman" w:hAnsi="Times New Roman" w:eastAsia="仿宋_GB2312" w:cs="仿宋_GB2312"/>
          <w:sz w:val="28"/>
          <w:szCs w:val="28"/>
        </w:rPr>
        <w:t>份，回收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 w:cs="仿宋_GB2312"/>
          <w:sz w:val="28"/>
          <w:szCs w:val="28"/>
        </w:rPr>
        <w:t>6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28"/>
          <w:szCs w:val="28"/>
        </w:rPr>
        <w:t>份，回收率为9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28"/>
          <w:szCs w:val="28"/>
        </w:rPr>
        <w:t>.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％，其中有效问卷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1525</w:t>
      </w:r>
      <w:r>
        <w:rPr>
          <w:rFonts w:hint="eastAsia" w:ascii="Times New Roman" w:hAnsi="Times New Roman" w:eastAsia="仿宋_GB2312" w:cs="仿宋_GB2312"/>
          <w:sz w:val="28"/>
          <w:szCs w:val="28"/>
        </w:rPr>
        <w:t>份，有效率99.2％。现将本问卷情况报告如下：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一、泰州博物馆观众的基本构成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博物馆观众是指凡参观过博物馆陈列展览或巡回展览、参加过博物馆各种教育服务活动的社会公众。泰州市博物馆观众性别构成中，男性占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五成二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。观众以本地观众为主占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九成以上</w:t>
      </w:r>
      <w:r>
        <w:rPr>
          <w:rFonts w:hint="eastAsia" w:ascii="Times New Roman" w:hAnsi="Times New Roman" w:eastAsia="仿宋_GB2312" w:cs="仿宋_GB2312"/>
          <w:sz w:val="28"/>
          <w:szCs w:val="28"/>
          <w:lang w:eastAsia="zh-CN"/>
        </w:rPr>
        <w:t>。</w:t>
      </w:r>
      <w:r>
        <w:rPr>
          <w:rFonts w:hint="eastAsia" w:ascii="Times New Roman" w:hAnsi="Times New Roman" w:eastAsia="仿宋_GB2312" w:cs="仿宋_GB2312"/>
          <w:sz w:val="28"/>
          <w:szCs w:val="28"/>
        </w:rPr>
        <w:t>30岁以下占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七成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。教育程度大专以上占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七成五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716655" cy="2233295"/>
            <wp:effectExtent l="4445" t="4445" r="12700" b="10160"/>
            <wp:docPr id="31" name="图表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  性别构成</w:t>
      </w:r>
    </w:p>
    <w:p>
      <w:pPr>
        <w:widowControl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drawing>
          <wp:inline distT="0" distB="0" distL="114300" distR="114300">
            <wp:extent cx="4116705" cy="2299335"/>
            <wp:effectExtent l="4445" t="4445" r="12700" b="20320"/>
            <wp:docPr id="3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图2 观众所属地区</w:t>
      </w:r>
    </w:p>
    <w:p>
      <w:pPr>
        <w:widowControl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184015" cy="2227580"/>
            <wp:effectExtent l="4445" t="4445" r="21590" b="15875"/>
            <wp:docPr id="1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图3 观众年龄构成</w:t>
      </w:r>
    </w:p>
    <w:p>
      <w:pPr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132580" cy="2353945"/>
            <wp:effectExtent l="4445" t="5080" r="15875" b="22225"/>
            <wp:docPr id="2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图4 观众受教育程度</w:t>
      </w:r>
    </w:p>
    <w:p>
      <w:pPr>
        <w:widowControl/>
        <w:jc w:val="center"/>
        <w:rPr>
          <w:rFonts w:hint="eastAsia" w:ascii="Times New Roman" w:hAnsi="Times New Roman" w:eastAsia="仿宋_GB2312" w:cs="仿宋_GB2312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716655" cy="2312035"/>
            <wp:effectExtent l="4445" t="4445" r="12700" b="7620"/>
            <wp:docPr id="9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图5 观众满意度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二、观众参观的行为调查分析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观众的近半数的回答第一次参观我馆，也有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近2成</w:t>
      </w:r>
      <w:r>
        <w:rPr>
          <w:rFonts w:hint="eastAsia" w:ascii="Times New Roman" w:hAnsi="Times New Roman" w:eastAsia="仿宋_GB2312" w:cs="仿宋_GB2312"/>
          <w:sz w:val="28"/>
          <w:szCs w:val="28"/>
        </w:rPr>
        <w:t>的观众一年来我馆参观三次以上。近六成的认为学习知识是来我馆参观的目的。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778885" cy="1986915"/>
            <wp:effectExtent l="6350" t="6350" r="24765" b="6985"/>
            <wp:docPr id="33" name="图表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图6  第几次来我馆参观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3407410" cy="1956435"/>
            <wp:effectExtent l="6350" t="6350" r="15240" b="18415"/>
            <wp:docPr id="35" name="图表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图7  参观的主要目的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从参观方式上来看，成年观众以独自参观或朋友结伴为主，占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七成</w:t>
      </w:r>
      <w:r>
        <w:rPr>
          <w:rFonts w:hint="eastAsia" w:ascii="Times New Roman" w:hAnsi="Times New Roman" w:eastAsia="仿宋_GB2312" w:cs="仿宋_GB2312"/>
          <w:sz w:val="28"/>
          <w:szCs w:val="28"/>
        </w:rPr>
        <w:t>，，一个小时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以上</w:t>
      </w:r>
      <w:r>
        <w:rPr>
          <w:rFonts w:hint="eastAsia" w:ascii="Times New Roman" w:hAnsi="Times New Roman" w:eastAsia="仿宋_GB2312" w:cs="仿宋_GB2312"/>
          <w:sz w:val="28"/>
          <w:szCs w:val="28"/>
        </w:rPr>
        <w:t>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八成五</w:t>
      </w:r>
      <w:r>
        <w:rPr>
          <w:rFonts w:hint="eastAsia" w:ascii="Times New Roman" w:hAnsi="Times New Roman" w:eastAsia="仿宋_GB2312" w:cs="仿宋_GB2312"/>
          <w:sz w:val="28"/>
          <w:szCs w:val="28"/>
        </w:rPr>
        <w:t>。</w:t>
      </w:r>
    </w:p>
    <w:p>
      <w:pPr>
        <w:ind w:firstLine="560" w:firstLineChars="200"/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5300" cy="2519045"/>
            <wp:effectExtent l="4445" t="4445" r="14605" b="10160"/>
            <wp:docPr id="36" name="图表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图8  参观我馆的方式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125" cy="2515870"/>
            <wp:effectExtent l="4445" t="4445" r="17780" b="13335"/>
            <wp:docPr id="38" name="图表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图9  停留我馆的时间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三、博物馆及展览信息的调查分析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在获取我馆及展览信息的途径方面（图11，问题11），在报刊杂志、电视广播等传统媒体仅占7.1％和1.9％，互联网与手机占8.3％和27.2％，他人介绍和其他占28.8％和26.7％，关注我馆微信公众号的占17.1％。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760" cy="2513330"/>
            <wp:effectExtent l="6350" t="6350" r="15240" b="13970"/>
            <wp:docPr id="46" name="图表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图11  了解我馆的途径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drawing>
          <wp:inline distT="0" distB="0" distL="114300" distR="114300">
            <wp:extent cx="4188460" cy="2353310"/>
            <wp:effectExtent l="4445" t="5080" r="17145" b="22860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图12  是否关注我馆的微信公众号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对于我馆基本陈列，对泰州历史基本陈列比较感兴趣的占55.2％，对泰州明墓出土服饰陈列感兴趣的占44.8％。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drawing>
          <wp:inline distT="0" distB="0" distL="114300" distR="114300">
            <wp:extent cx="4826000" cy="2743200"/>
            <wp:effectExtent l="4445" t="4445" r="8255" b="14605"/>
            <wp:docPr id="8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图14  比较感兴趣的展厅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在回答“您是否会参观我馆举办新展览”，大多数观众还是有意愿参观博物馆的。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125" cy="2514600"/>
            <wp:effectExtent l="4445" t="4445" r="17780" b="14605"/>
            <wp:docPr id="44" name="图表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图15  是否还会参观我馆举办的新展览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对于我馆新陈列的期待，小学生们对于各个历史时期的文物的期待大体相当，各类文物的期许也较为接近。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2125" cy="2515870"/>
            <wp:effectExtent l="6350" t="6350" r="15875" b="11430"/>
            <wp:docPr id="42" name="图表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图16  期待我馆新展览的类别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textAlignment w:val="auto"/>
        <w:rPr>
          <w:rFonts w:hint="eastAsia" w:ascii="Times New Roman" w:hAnsi="Times New Roman" w:eastAsia="仿宋_GB2312" w:cs="仿宋_GB2312"/>
          <w:b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sz w:val="28"/>
          <w:szCs w:val="28"/>
        </w:rPr>
        <w:t>四、博物馆及社教活动的期待调查分析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在有助于加深了解展览的方式中，选择讲解员讲解的超过三成，展览相关的视频演示占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二成五。</w:t>
      </w:r>
      <w:r>
        <w:rPr>
          <w:rFonts w:hint="eastAsia" w:ascii="Times New Roman" w:hAnsi="Times New Roman" w:eastAsia="仿宋_GB2312" w:cs="仿宋_GB2312"/>
          <w:sz w:val="28"/>
          <w:szCs w:val="28"/>
        </w:rPr>
        <w:t>在参加过我馆的社教活动中，已参加过</w:t>
      </w:r>
      <w:r>
        <w:rPr>
          <w:rFonts w:hint="eastAsia" w:ascii="Times New Roman" w:hAnsi="Times New Roman" w:eastAsia="仿宋_GB2312" w:cs="仿宋_GB2312"/>
          <w:sz w:val="28"/>
          <w:szCs w:val="28"/>
          <w:lang w:val="en-US" w:eastAsia="zh-CN"/>
        </w:rPr>
        <w:t>的</w:t>
      </w:r>
      <w:r>
        <w:rPr>
          <w:rFonts w:hint="eastAsia" w:ascii="Times New Roman" w:hAnsi="Times New Roman" w:eastAsia="仿宋_GB2312" w:cs="仿宋_GB2312"/>
          <w:sz w:val="28"/>
          <w:szCs w:val="28"/>
        </w:rPr>
        <w:t>有三分之一的，也表明我馆的社教工作仍有较大的发展空间。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1490" cy="2513965"/>
            <wp:effectExtent l="4445" t="5080" r="18415" b="14605"/>
            <wp:docPr id="45" name="图表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图18  有助于加深了解展览的方式</w:t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drawing>
          <wp:inline distT="0" distB="0" distL="114300" distR="114300">
            <wp:extent cx="4304030" cy="2513965"/>
            <wp:effectExtent l="6350" t="6350" r="13970" b="13335"/>
            <wp:docPr id="51" name="图表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>
      <w:pPr>
        <w:jc w:val="center"/>
        <w:rPr>
          <w:rFonts w:hint="eastAsia" w:ascii="Times New Roman" w:hAnsi="Times New Roman" w:eastAsia="仿宋_GB2312" w:cs="仿宋_GB2312"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图19  是否已参加过我馆的社教活动</w:t>
      </w:r>
    </w:p>
    <w:p>
      <w:pPr>
        <w:ind w:firstLine="560" w:firstLineChars="200"/>
        <w:rPr>
          <w:rFonts w:hint="eastAsia" w:ascii="Times New Roman" w:hAnsi="Times New Roman" w:eastAsia="仿宋_GB2312" w:cs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 w:cs="仿宋_GB2312"/>
          <w:sz w:val="28"/>
          <w:szCs w:val="28"/>
        </w:rPr>
        <w:t>泰州博物馆无论是服务设施还是服务方式方法，都必须建立在了解观众信息，满足观众多种实际需求的服务意识之上。我馆将继续强化服务意识，不断提升自身的服务水平和业务水平，努力让泰州广大市民享受到更多更好的文化服务，也努力为我市文化名城建设做出自己的贡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5YzIzNDc0NTFiMjU5MWRiNGNiOTVmOGY2OTZjNGMifQ=="/>
  </w:docVars>
  <w:rsids>
    <w:rsidRoot w:val="092B4C25"/>
    <w:rsid w:val="092B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6.xml"/><Relationship Id="rId8" Type="http://schemas.openxmlformats.org/officeDocument/2006/relationships/chart" Target="charts/chart5.xml"/><Relationship Id="rId7" Type="http://schemas.openxmlformats.org/officeDocument/2006/relationships/chart" Target="charts/chart4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hart" Target="charts/chart16.xml"/><Relationship Id="rId18" Type="http://schemas.openxmlformats.org/officeDocument/2006/relationships/chart" Target="charts/chart15.xml"/><Relationship Id="rId17" Type="http://schemas.openxmlformats.org/officeDocument/2006/relationships/chart" Target="charts/chart14.xml"/><Relationship Id="rId16" Type="http://schemas.openxmlformats.org/officeDocument/2006/relationships/chart" Target="charts/chart13.xml"/><Relationship Id="rId15" Type="http://schemas.openxmlformats.org/officeDocument/2006/relationships/chart" Target="charts/chart12.xml"/><Relationship Id="rId14" Type="http://schemas.openxmlformats.org/officeDocument/2006/relationships/chart" Target="charts/chart11.xml"/><Relationship Id="rId13" Type="http://schemas.openxmlformats.org/officeDocument/2006/relationships/chart" Target="charts/chart10.xml"/><Relationship Id="rId12" Type="http://schemas.openxmlformats.org/officeDocument/2006/relationships/chart" Target="charts/chart9.xml"/><Relationship Id="rId11" Type="http://schemas.openxmlformats.org/officeDocument/2006/relationships/chart" Target="charts/chart8.xml"/><Relationship Id="rId10" Type="http://schemas.openxmlformats.org/officeDocument/2006/relationships/chart" Target="charts/chart7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1.xml"/><Relationship Id="rId2" Type="http://schemas.microsoft.com/office/2011/relationships/chartStyle" Target="style11.xml"/><Relationship Id="rId1" Type="http://schemas.openxmlformats.org/officeDocument/2006/relationships/oleObject" Target="Book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ColorStyle" Target="colors7.xml"/><Relationship Id="rId2" Type="http://schemas.microsoft.com/office/2011/relationships/chartStyle" Target="style7.xml"/><Relationship Id="rId1" Type="http://schemas.openxmlformats.org/officeDocument/2006/relationships/oleObject" Target="&#24037;&#20316;&#31807;1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ColorStyle" Target="colors8.xml"/><Relationship Id="rId2" Type="http://schemas.microsoft.com/office/2011/relationships/chartStyle" Target="style8.xml"/><Relationship Id="rId1" Type="http://schemas.openxmlformats.org/officeDocument/2006/relationships/oleObject" Target="&#24037;&#20316;&#31807;1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Book1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Book1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10.xml"/><Relationship Id="rId2" Type="http://schemas.microsoft.com/office/2011/relationships/chartStyle" Target="style10.xml"/><Relationship Id="rId1" Type="http://schemas.openxmlformats.org/officeDocument/2006/relationships/oleObject" Target="file:///C:\Users\Administrator\Desktop\&#25991;&#29289;&#24635;&#24080;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oleObject" Target="file:///C:\Users\sky1982\Documents\WPS%20Cloud%20Files\.268829209\cachedata\CDD663754017404697AA0EA9A60A7F91\&#25991;&#29289;&#24635;&#24080;.xls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ColorStyle" Target="colors4.xml"/><Relationship Id="rId2" Type="http://schemas.microsoft.com/office/2011/relationships/chartStyle" Target="style4.xml"/><Relationship Id="rId1" Type="http://schemas.openxmlformats.org/officeDocument/2006/relationships/oleObject" Target="file:///C:\Users\sky1982\Documents\WPS%20Cloud%20Files\.268829209\cachedata\CDD663754017404697AA0EA9A60A7F91\&#25991;&#29289;&#24635;&#24080;.xls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sky1982\Documents\WPS%20Cloud%20Files\.268829209\cachedata\CDD663754017404697AA0EA9A60A7F91\&#25991;&#29289;&#24635;&#24080;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ColorStyle" Target="colors9.xml"/><Relationship Id="rId2" Type="http://schemas.microsoft.com/office/2011/relationships/chartStyle" Target="style9.xml"/><Relationship Id="rId1" Type="http://schemas.openxmlformats.org/officeDocument/2006/relationships/oleObject" Target="Book1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性别</a:t>
            </a:r>
          </a:p>
        </c:rich>
      </c:tx>
      <c:layout>
        <c:manualLayout>
          <c:xMode val="edge"/>
          <c:yMode val="edge"/>
          <c:x val="0.441472222222222"/>
          <c:y val="0.0370370370370371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effectLst/>
      </c:spPr>
    </c:floor>
    <c:sideWall>
      <c:thickness val="0"/>
      <c:spPr>
        <a:noFill/>
        <a:effectLst/>
      </c:spPr>
    </c:sideWall>
    <c:backWall>
      <c:thickness val="0"/>
      <c:spPr>
        <a:noFill/>
        <a:effectLst/>
      </c:spPr>
    </c:backWall>
    <c:plotArea>
      <c:layout/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 contourW="9525"/>
          </c:spPr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9525"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  <a:scene3d>
                <a:camera prst="orthographicFront"/>
                <a:lightRig rig="threePt" dir="t"/>
              </a:scene3d>
              <a:sp3d contourW="9525"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Sheet1!$A$33:$B$33</c:f>
              <c:strCache>
                <c:ptCount val="2"/>
                <c:pt idx="0">
                  <c:v>男</c:v>
                </c:pt>
                <c:pt idx="1">
                  <c:v>女</c:v>
                </c:pt>
              </c:strCache>
            </c:strRef>
          </c:cat>
          <c:val>
            <c:numRef>
              <c:f>Sheet1!$A$34:$B$34</c:f>
              <c:numCache>
                <c:formatCode>General</c:formatCode>
                <c:ptCount val="2"/>
                <c:pt idx="0">
                  <c:v>556</c:v>
                </c:pt>
                <c:pt idx="1">
                  <c:v>404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了解我馆的途径</a:t>
            </a:r>
            <a:endParaRPr lang="zh-CN" alt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elete val="1"/>
          </c:dLbls>
          <c:cat>
            <c:strRef>
              <c:f>Sheet1!$A$1:$F$1</c:f>
              <c:strCache>
                <c:ptCount val="6"/>
                <c:pt idx="0">
                  <c:v>报刊杂志</c:v>
                </c:pt>
                <c:pt idx="1">
                  <c:v>互联网</c:v>
                </c:pt>
                <c:pt idx="2">
                  <c:v>手机</c:v>
                </c:pt>
                <c:pt idx="3">
                  <c:v>电视广播</c:v>
                </c:pt>
                <c:pt idx="4">
                  <c:v>他人介绍</c:v>
                </c:pt>
                <c:pt idx="5">
                  <c:v>其它</c:v>
                </c:pt>
              </c:strCache>
            </c:strRef>
          </c:cat>
          <c:val>
            <c:numRef>
              <c:f>Sheet1!$A$2:$F$2</c:f>
              <c:numCache>
                <c:formatCode>General</c:formatCode>
                <c:ptCount val="6"/>
                <c:pt idx="0">
                  <c:v>68</c:v>
                </c:pt>
                <c:pt idx="1">
                  <c:v>80</c:v>
                </c:pt>
                <c:pt idx="2">
                  <c:v>261</c:v>
                </c:pt>
                <c:pt idx="3">
                  <c:v>19</c:v>
                </c:pt>
                <c:pt idx="4">
                  <c:v>276</c:v>
                </c:pt>
                <c:pt idx="5">
                  <c:v>256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0310794420861128"/>
          <c:y val="0.170804101457097"/>
          <c:w val="0.933292904790782"/>
          <c:h val="0.769832703723691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solidFill>
                <a:schemeClr val="bg1"/>
              </a:solidFill>
            </a:ln>
            <a:effectLst/>
            <a:sp3d contourW="9525"/>
          </c:spPr>
          <c:invertIfNegative val="0"/>
          <c:dLbls>
            <c:delete val="1"/>
          </c:dLbls>
          <c:cat>
            <c:strRef>
              <c:f>[工作簿1]Sheet1!$A$7:$A$8</c:f>
              <c:strCache>
                <c:ptCount val="2"/>
                <c:pt idx="0">
                  <c:v>已关注</c:v>
                </c:pt>
                <c:pt idx="1">
                  <c:v>未关注</c:v>
                </c:pt>
              </c:strCache>
            </c:strRef>
          </c:cat>
          <c:val>
            <c:numRef>
              <c:f>[工作簿1]Sheet1!$B$7:$B$8</c:f>
              <c:numCache>
                <c:formatCode>General</c:formatCode>
                <c:ptCount val="2"/>
                <c:pt idx="0">
                  <c:v>343</c:v>
                </c:pt>
                <c:pt idx="1">
                  <c:v>1617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100"/>
        <c:axId val="739512485"/>
        <c:axId val="499709049"/>
      </c:barChart>
      <c:catAx>
        <c:axId val="73951248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9709049"/>
        <c:crosses val="autoZero"/>
        <c:auto val="1"/>
        <c:lblAlgn val="ctr"/>
        <c:lblOffset val="100"/>
        <c:noMultiLvlLbl val="0"/>
      </c:catAx>
      <c:valAx>
        <c:axId val="49970904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0" vertOverflow="ellipsis" vert="horz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3951248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[工作簿1]Sheet1!$A$13:$A$14</c:f>
              <c:strCache>
                <c:ptCount val="2"/>
                <c:pt idx="0">
                  <c:v>泰州基本陈列</c:v>
                </c:pt>
                <c:pt idx="1">
                  <c:v>明代出土服饰</c:v>
                </c:pt>
              </c:strCache>
            </c:strRef>
          </c:cat>
          <c:val>
            <c:numRef>
              <c:f>[工作簿1]Sheet1!$B$13:$B$14</c:f>
              <c:numCache>
                <c:formatCode>0.00%</c:formatCode>
                <c:ptCount val="2"/>
                <c:pt idx="0">
                  <c:v>0.552</c:v>
                </c:pt>
                <c:pt idx="1">
                  <c:v>0.448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0"/>
        <c:axId val="572915052"/>
        <c:axId val="374805804"/>
      </c:barChart>
      <c:catAx>
        <c:axId val="572915052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74805804"/>
        <c:crosses val="autoZero"/>
        <c:auto val="1"/>
        <c:lblAlgn val="ctr"/>
        <c:lblOffset val="100"/>
        <c:noMultiLvlLbl val="0"/>
      </c:catAx>
      <c:valAx>
        <c:axId val="3748058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29150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是否还会参观我馆举办的新展览</a:t>
            </a:r>
            <a:endParaRPr lang="zh-CN" altLang="en-US"/>
          </a:p>
        </c:rich>
      </c:tx>
      <c:layout>
        <c:manualLayout>
          <c:xMode val="edge"/>
          <c:yMode val="edge"/>
          <c:x val="0.141722222222222"/>
          <c:y val="0.074074074074074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Sheet1!$A$26:$C$26</c:f>
              <c:strCache>
                <c:ptCount val="3"/>
                <c:pt idx="0">
                  <c:v>知道后都会过来</c:v>
                </c:pt>
                <c:pt idx="1">
                  <c:v>碰巧遇到就看</c:v>
                </c:pt>
                <c:pt idx="2">
                  <c:v>知道后有选择地参观</c:v>
                </c:pt>
              </c:strCache>
            </c:strRef>
          </c:cat>
          <c:val>
            <c:numRef>
              <c:f>Sheet1!$A$27:$C$27</c:f>
              <c:numCache>
                <c:formatCode>General</c:formatCode>
                <c:ptCount val="3"/>
                <c:pt idx="0">
                  <c:v>371</c:v>
                </c:pt>
                <c:pt idx="1">
                  <c:v>243</c:v>
                </c:pt>
                <c:pt idx="2">
                  <c:v>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57254455"/>
        <c:axId val="966342367"/>
      </c:barChart>
      <c:catAx>
        <c:axId val="5725445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66342367"/>
        <c:crosses val="autoZero"/>
        <c:auto val="1"/>
        <c:lblAlgn val="ctr"/>
        <c:lblOffset val="100"/>
        <c:noMultiLvlLbl val="0"/>
      </c:catAx>
      <c:valAx>
        <c:axId val="966342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2544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期待我馆新展览的类别</a:t>
            </a:r>
            <a:endParaRPr lang="zh-CN" altLang="en-US"/>
          </a:p>
        </c:rich>
      </c:tx>
      <c:layout>
        <c:manualLayout>
          <c:xMode val="edge"/>
          <c:yMode val="edge"/>
          <c:x val="0.240694444444445"/>
          <c:y val="0.0509259259259259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Sheet1!$A$26:$J$26</c:f>
              <c:strCache>
                <c:ptCount val="10"/>
                <c:pt idx="0">
                  <c:v>玉石类</c:v>
                </c:pt>
                <c:pt idx="1">
                  <c:v>陶瓷类</c:v>
                </c:pt>
                <c:pt idx="2">
                  <c:v>字画类</c:v>
                </c:pt>
                <c:pt idx="3">
                  <c:v>金银器类</c:v>
                </c:pt>
                <c:pt idx="4">
                  <c:v>服饰类</c:v>
                </c:pt>
                <c:pt idx="5">
                  <c:v>新石器时期</c:v>
                </c:pt>
                <c:pt idx="6">
                  <c:v>秦汉时期</c:v>
                </c:pt>
                <c:pt idx="7">
                  <c:v>唐宋时期</c:v>
                </c:pt>
                <c:pt idx="8">
                  <c:v>明清时期</c:v>
                </c:pt>
                <c:pt idx="9">
                  <c:v>其它</c:v>
                </c:pt>
              </c:strCache>
            </c:strRef>
          </c:cat>
          <c:val>
            <c:numRef>
              <c:f>Sheet1!$A$27:$J$27</c:f>
              <c:numCache>
                <c:formatCode>General</c:formatCode>
                <c:ptCount val="10"/>
                <c:pt idx="0">
                  <c:v>417</c:v>
                </c:pt>
                <c:pt idx="1">
                  <c:v>323</c:v>
                </c:pt>
                <c:pt idx="2">
                  <c:v>364</c:v>
                </c:pt>
                <c:pt idx="3">
                  <c:v>380</c:v>
                </c:pt>
                <c:pt idx="4">
                  <c:v>321</c:v>
                </c:pt>
                <c:pt idx="5">
                  <c:v>347</c:v>
                </c:pt>
                <c:pt idx="6">
                  <c:v>340</c:v>
                </c:pt>
                <c:pt idx="7">
                  <c:v>385</c:v>
                </c:pt>
                <c:pt idx="8">
                  <c:v>300</c:v>
                </c:pt>
                <c:pt idx="9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56924032"/>
        <c:axId val="56925568"/>
      </c:barChart>
      <c:catAx>
        <c:axId val="569240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6925568"/>
        <c:crosses val="autoZero"/>
        <c:auto val="1"/>
        <c:lblAlgn val="ctr"/>
        <c:lblOffset val="100"/>
        <c:noMultiLvlLbl val="0"/>
      </c:catAx>
      <c:valAx>
        <c:axId val="569255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569240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有助于加深了解展览的方式</a:t>
            </a:r>
          </a:p>
        </c:rich>
      </c:tx>
      <c:layout>
        <c:manualLayout>
          <c:xMode val="edge"/>
          <c:yMode val="edge"/>
          <c:x val="0.173833333333333"/>
          <c:y val="0.083333333333333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>
                    <a:lumMod val="40000"/>
                    <a:lumOff val="60000"/>
                  </a:schemeClr>
                </a:gs>
                <a:gs pos="90000">
                  <a:schemeClr val="accent1"/>
                </a:gs>
              </a:gsLst>
              <a:lin ang="5400000" scaled="0"/>
            </a:gradFill>
            <a:ln>
              <a:gradFill>
                <a:gsLst>
                  <a:gs pos="0">
                    <a:schemeClr val="accent1"/>
                  </a:gs>
                  <a:gs pos="100000">
                    <a:schemeClr val="accent1">
                      <a:lumMod val="75000"/>
                    </a:schemeClr>
                  </a:gs>
                </a:gsLst>
                <a:lin ang="5400000" scaled="1"/>
              </a:gradFill>
            </a:ln>
            <a:effectLst>
              <a:outerShdw blurRad="76200" dist="25400" dir="2700000" algn="tl" rotWithShape="0">
                <a:schemeClr val="accent1">
                  <a:lumMod val="50000"/>
                  <a:alpha val="30000"/>
                </a:schemeClr>
              </a:outerShdw>
            </a:effectLst>
          </c:spPr>
          <c:invertIfNegative val="0"/>
          <c:dLbls>
            <c:delete val="1"/>
          </c:dLbls>
          <c:cat>
            <c:strRef>
              <c:f>Sheet1!$A$1:$E$1</c:f>
              <c:strCache>
                <c:ptCount val="5"/>
                <c:pt idx="0">
                  <c:v>讲解员的讲解</c:v>
                </c:pt>
                <c:pt idx="1">
                  <c:v>展览相关的视频演示</c:v>
                </c:pt>
                <c:pt idx="2">
                  <c:v>展览相关的社教活动</c:v>
                </c:pt>
                <c:pt idx="3">
                  <c:v>展览相关的书籍或读物</c:v>
                </c:pt>
                <c:pt idx="4">
                  <c:v>展览相关的专题讲座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513</c:v>
                </c:pt>
                <c:pt idx="1">
                  <c:v>352</c:v>
                </c:pt>
                <c:pt idx="2">
                  <c:v>147</c:v>
                </c:pt>
                <c:pt idx="3">
                  <c:v>256</c:v>
                </c:pt>
                <c:pt idx="4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6"/>
        <c:overlap val="-32"/>
        <c:axId val="330554095"/>
        <c:axId val="631803849"/>
      </c:barChart>
      <c:catAx>
        <c:axId val="330554095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31803849"/>
        <c:crosses val="autoZero"/>
        <c:auto val="1"/>
        <c:lblAlgn val="ctr"/>
        <c:lblOffset val="100"/>
        <c:noMultiLvlLbl val="0"/>
      </c:catAx>
      <c:valAx>
        <c:axId val="63180384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title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0" vertOverflow="ellipsis" vert="horz" wrap="square" anchor="ctr" anchorCtr="1"/>
            <a:lstStyle/>
            <a:p>
              <a:pPr>
                <a:defRPr lang="zh-CN"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0554095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是否已参加过我馆的社教活动</a:t>
            </a:r>
            <a:endParaRPr lang="zh-CN" altLang="en-US"/>
          </a:p>
        </c:rich>
      </c:tx>
      <c:layout>
        <c:manualLayout>
          <c:xMode val="edge"/>
          <c:yMode val="edge"/>
          <c:x val="0.176611111111111"/>
          <c:y val="0.08796296296296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0"/>
          <c:dPt>
            <c:idx val="0"/>
            <c:bubble3D val="0"/>
          </c:dPt>
          <c:dPt>
            <c:idx val="1"/>
            <c:bubble3D val="0"/>
          </c:dPt>
          <c:dLbls>
            <c:delete val="1"/>
          </c:dLbls>
          <c:cat>
            <c:strRef>
              <c:f>Sheet1!$A$33:$B$33</c:f>
              <c:strCache>
                <c:ptCount val="2"/>
                <c:pt idx="0">
                  <c:v>是</c:v>
                </c:pt>
                <c:pt idx="1">
                  <c:v>否</c:v>
                </c:pt>
              </c:strCache>
            </c:strRef>
          </c:cat>
          <c:val>
            <c:numRef>
              <c:f>Sheet1!$A$34:$B$34</c:f>
              <c:numCache>
                <c:formatCode>General</c:formatCode>
                <c:ptCount val="2"/>
                <c:pt idx="0">
                  <c:v>324</c:v>
                </c:pt>
                <c:pt idx="1">
                  <c:v>628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delete val="1"/>
          </c:dLbls>
          <c:cat>
            <c:strRef>
              <c:f>[文物总帐.xls]Sheet3!$A$1:$A$2</c:f>
              <c:strCache>
                <c:ptCount val="2"/>
                <c:pt idx="0">
                  <c:v>本地游客</c:v>
                </c:pt>
                <c:pt idx="1">
                  <c:v>外地游客</c:v>
                </c:pt>
              </c:strCache>
            </c:strRef>
          </c:cat>
          <c:val>
            <c:numRef>
              <c:f>[文物总帐.xls]Sheet3!$B$1:$B$2</c:f>
              <c:numCache>
                <c:formatCode>General</c:formatCode>
                <c:ptCount val="2"/>
                <c:pt idx="0">
                  <c:v>16</c:v>
                </c:pt>
                <c:pt idx="1">
                  <c:v>1.1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chemeClr val="bg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solidFill>
                  <a:schemeClr val="bg1"/>
                </a:solidFill>
              </a:ln>
              <a:effectLst/>
            </c:spPr>
          </c:dPt>
          <c:dLbls>
            <c:delete val="1"/>
          </c:dLbls>
          <c:cat>
            <c:strRef>
              <c:f>[文物总帐.xls]Sheet4!$A$6:$F$6</c:f>
              <c:strCache>
                <c:ptCount val="6"/>
                <c:pt idx="0">
                  <c:v>18岁以下</c:v>
                </c:pt>
                <c:pt idx="1">
                  <c:v>19-30岁</c:v>
                </c:pt>
                <c:pt idx="2">
                  <c:v>31-40岁</c:v>
                </c:pt>
                <c:pt idx="3">
                  <c:v>41-50岁</c:v>
                </c:pt>
                <c:pt idx="4">
                  <c:v>51-60岁</c:v>
                </c:pt>
                <c:pt idx="5">
                  <c:v>61岁以上</c:v>
                </c:pt>
              </c:strCache>
            </c:strRef>
          </c:cat>
          <c:val>
            <c:numRef>
              <c:f>[文物总帐.xls]Sheet4!$A$7:$F$7</c:f>
              <c:numCache>
                <c:formatCode>0%</c:formatCode>
                <c:ptCount val="6"/>
                <c:pt idx="0">
                  <c:v>0.32</c:v>
                </c:pt>
                <c:pt idx="1">
                  <c:v>0.38</c:v>
                </c:pt>
                <c:pt idx="2">
                  <c:v>0.12</c:v>
                </c:pt>
                <c:pt idx="3">
                  <c:v>0.07</c:v>
                </c:pt>
                <c:pt idx="4" c:formatCode="0.00%">
                  <c:v>0.075</c:v>
                </c:pt>
                <c:pt idx="5" c:formatCode="0.00%">
                  <c:v>0.035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[文物总帐.xls]Sheet4!$A$10:$E$10</c:f>
              <c:strCache>
                <c:ptCount val="5"/>
                <c:pt idx="0">
                  <c:v>小学</c:v>
                </c:pt>
                <c:pt idx="1">
                  <c:v>初中</c:v>
                </c:pt>
                <c:pt idx="2">
                  <c:v>高中</c:v>
                </c:pt>
                <c:pt idx="3">
                  <c:v>本科</c:v>
                </c:pt>
                <c:pt idx="4">
                  <c:v>研究生</c:v>
                </c:pt>
              </c:strCache>
            </c:strRef>
          </c:cat>
          <c:val>
            <c:numRef>
              <c:f>[文物总帐.xls]Sheet4!$A$11:$E$11</c:f>
              <c:numCache>
                <c:formatCode>0%</c:formatCode>
                <c:ptCount val="5"/>
                <c:pt idx="0">
                  <c:v>0.15</c:v>
                </c:pt>
                <c:pt idx="1">
                  <c:v>0.08</c:v>
                </c:pt>
                <c:pt idx="2">
                  <c:v>0.02</c:v>
                </c:pt>
                <c:pt idx="3">
                  <c:v>0.66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6"/>
        <c:overlap val="-28"/>
        <c:axId val="82950043"/>
        <c:axId val="717743085"/>
      </c:barChart>
      <c:catAx>
        <c:axId val="82950043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17743085"/>
        <c:crosses val="autoZero"/>
        <c:auto val="1"/>
        <c:lblAlgn val="ctr"/>
        <c:lblOffset val="100"/>
        <c:noMultiLvlLbl val="0"/>
      </c:catAx>
      <c:valAx>
        <c:axId val="71774308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295004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elete val="1"/>
          </c:dLbls>
          <c:cat>
            <c:strRef>
              <c:f>[文物总帐.xls]Sheet4!$A$14:$C$14</c:f>
              <c:strCache>
                <c:ptCount val="3"/>
                <c:pt idx="0">
                  <c:v>满意</c:v>
                </c:pt>
                <c:pt idx="1">
                  <c:v>一般</c:v>
                </c:pt>
                <c:pt idx="2">
                  <c:v>不满意</c:v>
                </c:pt>
              </c:strCache>
            </c:strRef>
          </c:cat>
          <c:val>
            <c:numRef>
              <c:f>[文物总帐.xls]Sheet4!$A$15:$C$15</c:f>
              <c:numCache>
                <c:formatCode>0%</c:formatCode>
                <c:ptCount val="3"/>
                <c:pt idx="0">
                  <c:v>0.95</c:v>
                </c:pt>
                <c:pt idx="1">
                  <c:v>0.04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0621284"/>
        <c:axId val="359912553"/>
      </c:areaChart>
      <c:catAx>
        <c:axId val="60621284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59912553"/>
        <c:crosses val="autoZero"/>
        <c:auto val="1"/>
        <c:lblAlgn val="ctr"/>
        <c:lblOffset val="100"/>
        <c:noMultiLvlLbl val="0"/>
      </c:catAx>
      <c:valAx>
        <c:axId val="35991255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062128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第几次来我馆参观</c:f>
              <c:strCache>
                <c:ptCount val="1"/>
                <c:pt idx="0">
                  <c:v>第几次来我馆参观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Lbl>
              <c:idx val="0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第一次, 49.1%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023604584298301"/>
                  <c:y val="-0.117230349579758"/>
                </c:manualLayout>
              </c:layout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 第二次, 22.1%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第三次, 6.4%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/>
              <c:tx>
                <c:rich>
                  <a:bodyPr rot="0" spcFirstLastPara="0" vertOverflow="ellipsis" vert="horz" wrap="square" lIns="38100" tIns="19050" rIns="38100" bIns="19050" anchor="ctr" anchorCtr="1"/>
                  <a:lstStyle/>
                  <a:p>
                    <a:pPr defTabSz="914400">
                      <a:defRPr lang="zh-CN" sz="1000" b="0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t>三次以上 22.5%</a:t>
                    </a:r>
                  </a:p>
                </c:rich>
              </c:tx>
              <c:dLblPos val="bestFit"/>
              <c:showLegendKey val="1"/>
              <c:showVal val="1"/>
              <c:showCatName val="1"/>
              <c:showSerName val="1"/>
              <c:showPercent val="1"/>
              <c:showBubbleSiz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1"/>
            <c:showVal val="1"/>
            <c:showCatName val="1"/>
            <c:showSerName val="1"/>
            <c:showPercent val="1"/>
            <c:showBubbleSize val="1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/>
              </c:ext>
            </c:extLst>
          </c:dLbls>
          <c:cat>
            <c:strRef>
              <c:f>Sheet1!$A$1:$D$1</c:f>
              <c:strCache>
                <c:ptCount val="4"/>
                <c:pt idx="0">
                  <c:v>第一次</c:v>
                </c:pt>
                <c:pt idx="1">
                  <c:v>第二次</c:v>
                </c:pt>
                <c:pt idx="2">
                  <c:v>第三次</c:v>
                </c:pt>
                <c:pt idx="3">
                  <c:v>三次以上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471</c:v>
                </c:pt>
                <c:pt idx="1">
                  <c:v>212</c:v>
                </c:pt>
                <c:pt idx="2">
                  <c:v>61</c:v>
                </c:pt>
                <c:pt idx="3">
                  <c:v>216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第几次来我馆参观</c:f>
              <c:strCache>
                <c:ptCount val="1"/>
                <c:pt idx="0">
                  <c:v>第几次来我馆参观</c:v>
                </c:pt>
              </c:strCache>
            </c:strRef>
          </c:tx>
          <c:explosion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delete val="1"/>
          </c:dLbls>
          <c:cat>
            <c:strRef>
              <c:f>Sheet1!$A$1:$D$1</c:f>
              <c:strCache>
                <c:ptCount val="4"/>
                <c:pt idx="0">
                  <c:v>旅游休闲</c:v>
                </c:pt>
                <c:pt idx="1">
                  <c:v>陶冶情操</c:v>
                </c:pt>
                <c:pt idx="2">
                  <c:v>学习知识</c:v>
                </c:pt>
                <c:pt idx="3">
                  <c:v>其他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160</c:v>
                </c:pt>
                <c:pt idx="1">
                  <c:v>212</c:v>
                </c:pt>
                <c:pt idx="2">
                  <c:v>689</c:v>
                </c:pt>
                <c:pt idx="3">
                  <c:v>67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  <c:firstSliceAng val="0"/>
      </c:pieChart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参观我馆的方式</a:t>
            </a:r>
            <a:endParaRPr lang="en-US" alt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areaChart>
        <c:grouping val="standar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delete val="1"/>
          </c:dLbls>
          <c:cat>
            <c:strRef>
              <c:f>Sheet1!$A$1:$E$1</c:f>
              <c:strCache>
                <c:ptCount val="5"/>
                <c:pt idx="0">
                  <c:v>独自参观</c:v>
                </c:pt>
                <c:pt idx="1">
                  <c:v>家人陪伴</c:v>
                </c:pt>
                <c:pt idx="2">
                  <c:v>朋友结伴</c:v>
                </c:pt>
                <c:pt idx="3">
                  <c:v>团队旅游</c:v>
                </c:pt>
                <c:pt idx="4">
                  <c:v>其它</c:v>
                </c:pt>
              </c:strCache>
            </c:strRef>
          </c:cat>
          <c:val>
            <c:numRef>
              <c:f>Sheet1!$A$2:$E$2</c:f>
              <c:numCache>
                <c:formatCode>General</c:formatCode>
                <c:ptCount val="5"/>
                <c:pt idx="0">
                  <c:v>44</c:v>
                </c:pt>
                <c:pt idx="1">
                  <c:v>721</c:v>
                </c:pt>
                <c:pt idx="2">
                  <c:v>128</c:v>
                </c:pt>
                <c:pt idx="3">
                  <c:v>15</c:v>
                </c:pt>
                <c:pt idx="4">
                  <c:v>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12301213"/>
        <c:axId val="756745586"/>
      </c:areaChart>
      <c:catAx>
        <c:axId val="912301213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56745586"/>
        <c:crosses val="autoZero"/>
        <c:auto val="1"/>
        <c:lblAlgn val="ctr"/>
        <c:lblOffset val="100"/>
        <c:noMultiLvlLbl val="0"/>
      </c:catAx>
      <c:valAx>
        <c:axId val="75674558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2301213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altLang="en-US"/>
              <a:t>停留我馆的时间</a:t>
            </a:r>
            <a:endParaRPr lang="zh-CN" altLang="en-US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Sheet1!$A$1:$D$1</c:f>
              <c:strCache>
                <c:ptCount val="4"/>
                <c:pt idx="0">
                  <c:v>1小时以内</c:v>
                </c:pt>
                <c:pt idx="1">
                  <c:v>1～2小时</c:v>
                </c:pt>
                <c:pt idx="2">
                  <c:v>2～3小时</c:v>
                </c:pt>
                <c:pt idx="3">
                  <c:v>3小时以上</c:v>
                </c:pt>
              </c:strCache>
            </c:strRef>
          </c:cat>
          <c:val>
            <c:numRef>
              <c:f>Sheet1!$A$2:$D$2</c:f>
              <c:numCache>
                <c:formatCode>General</c:formatCode>
                <c:ptCount val="4"/>
                <c:pt idx="0">
                  <c:v>155</c:v>
                </c:pt>
                <c:pt idx="1">
                  <c:v>500</c:v>
                </c:pt>
                <c:pt idx="2">
                  <c:v>209</c:v>
                </c:pt>
                <c:pt idx="3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0"/>
        <c:axId val="454463178"/>
        <c:axId val="100086646"/>
      </c:barChart>
      <c:catAx>
        <c:axId val="454463178"/>
        <c:scaling>
          <c:orientation val="minMax"/>
        </c:scaling>
        <c:delete val="0"/>
        <c:axPos val="b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00086646"/>
        <c:crosses val="autoZero"/>
        <c:auto val="1"/>
        <c:lblAlgn val="ctr"/>
        <c:lblOffset val="100"/>
        <c:noMultiLvlLbl val="0"/>
      </c:catAx>
      <c:valAx>
        <c:axId val="10008664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902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446317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acrossLinear" id="2">
  <a:schemeClr val="accent1"/>
  <a:schemeClr val="accent2"/>
  <a:schemeClr val="accent3"/>
  <a:schemeClr val="accent4"/>
  <a:schemeClr val="accent5"/>
  <a:schemeClr val="accent6"/>
</cs:colorStyle>
</file>

<file path=word/charts/style1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1008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1009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  <a:scene3d>
        <a:camera prst="orthographicFront"/>
        <a:lightRig rig="threePt" dir="t"/>
      </a:scene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101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1000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gradFill>
        <a:gsLst>
          <a:gs pos="0">
            <a:schemeClr val="phClr">
              <a:lumMod val="40000"/>
              <a:lumOff val="60000"/>
            </a:schemeClr>
          </a:gs>
          <a:gs pos="90000">
            <a:schemeClr val="phClr"/>
          </a:gs>
        </a:gsLst>
        <a:lin ang="5400000" scaled="0"/>
      </a:gradFill>
      <a:ln>
        <a:gradFill>
          <a:gsLst>
            <a:gs pos="0">
              <a:schemeClr val="phClr"/>
            </a:gs>
            <a:gs pos="100000">
              <a:schemeClr val="phClr">
                <a:lumMod val="75000"/>
              </a:schemeClr>
            </a:gs>
          </a:gsLst>
          <a:lin ang="5400000" scaled="1"/>
        </a:gradFill>
      </a:ln>
      <a:effectLst>
        <a:outerShdw blurRad="76200" dist="25400" dir="2700000" algn="tl" rotWithShape="0">
          <a:schemeClr val="phClr">
            <a:lumMod val="50000"/>
            <a:alpha val="30000"/>
          </a:schemeClr>
        </a:outerShdw>
      </a:effectLst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1008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100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solidFill>
          <a:schemeClr val="bg1"/>
        </a:solidFill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100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101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0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0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1">
      <cs:styleClr val="auto"/>
    </cs:fillRef>
    <cs:effectRef idx="0"/>
    <cs:fontRef idx="minor">
      <a:schemeClr val="dk1"/>
    </cs:fontRef>
    <cs:spPr>
      <a:ln>
        <a:noFill/>
      </a:ln>
      <a:effectLst/>
    </cs:spPr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bg1">
            <a:lumMod val="902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400" b="1" kern="120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2024-02-05T02:16:00Z</dcterms:created>
  <dc:creator>Administrator</dc:creator>
  <cp:lastModifiedBy>Administrator</cp:lastModifiedBy>
  <dcterms:modified xsi:type="dcterms:W3CDTF">2024-02-05T02:16:54Z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1CF3EDF164314FA5BC29E37B02335518_11</vt:lpwstr>
  </property>
</Properties>
</file>